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bCs/>
          <w:szCs w:val="21"/>
        </w:rPr>
      </w:pPr>
      <w:r>
        <w:rPr>
          <w:rFonts w:hint="eastAsia" w:ascii="黑体" w:hAnsi="黑体" w:eastAsia="黑体"/>
          <w:bCs/>
          <w:szCs w:val="21"/>
        </w:rPr>
        <w:t>附件</w:t>
      </w:r>
    </w:p>
    <w:p>
      <w:pPr>
        <w:spacing w:before="217" w:beforeLines="50" w:after="217" w:afterLines="50" w:line="400" w:lineRule="exact"/>
        <w:jc w:val="center"/>
        <w:rPr>
          <w:rFonts w:ascii="方正小标宋简体" w:eastAsia="方正小标宋简体"/>
          <w:bCs/>
          <w:szCs w:val="21"/>
        </w:rPr>
      </w:pPr>
      <w:r>
        <w:rPr>
          <w:rFonts w:hint="eastAsia" w:ascii="方正小标宋简体" w:eastAsia="方正小标宋简体"/>
          <w:bCs/>
          <w:sz w:val="36"/>
          <w:szCs w:val="21"/>
        </w:rPr>
        <w:t>2020年度湖北省自然科学奖提名公示信息</w:t>
      </w:r>
    </w:p>
    <w:tbl>
      <w:tblPr>
        <w:tblStyle w:val="9"/>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5"/>
        <w:gridCol w:w="1559"/>
        <w:gridCol w:w="942"/>
        <w:gridCol w:w="1814"/>
        <w:gridCol w:w="1175"/>
        <w:gridCol w:w="1211"/>
        <w:gridCol w:w="1154"/>
        <w:gridCol w:w="1241"/>
        <w:gridCol w:w="1211"/>
        <w:gridCol w:w="1209"/>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项目名称</w:t>
            </w:r>
          </w:p>
        </w:tc>
        <w:tc>
          <w:tcPr>
            <w:tcW w:w="11382" w:type="dxa"/>
            <w:gridSpan w:val="9"/>
            <w:vAlign w:val="center"/>
          </w:tcPr>
          <w:p>
            <w:pPr>
              <w:spacing w:line="240" w:lineRule="exact"/>
              <w:jc w:val="center"/>
              <w:rPr>
                <w:rFonts w:ascii="黑体" w:hAnsi="黑体" w:eastAsia="黑体" w:cs="黑体"/>
                <w:sz w:val="21"/>
                <w:szCs w:val="21"/>
              </w:rPr>
            </w:pPr>
            <w:r>
              <w:rPr>
                <w:rFonts w:hint="eastAsia" w:ascii="黑体" w:hAnsi="黑体" w:eastAsia="黑体" w:cs="黑体"/>
                <w:sz w:val="21"/>
                <w:szCs w:val="21"/>
              </w:rPr>
              <w:t>复杂边界多相湍流数值模拟理论及应用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提名单位</w:t>
            </w:r>
          </w:p>
        </w:tc>
        <w:tc>
          <w:tcPr>
            <w:tcW w:w="11382" w:type="dxa"/>
            <w:gridSpan w:val="9"/>
            <w:vAlign w:val="center"/>
          </w:tcPr>
          <w:p>
            <w:pPr>
              <w:spacing w:line="240" w:lineRule="exact"/>
              <w:jc w:val="center"/>
              <w:rPr>
                <w:sz w:val="21"/>
                <w:szCs w:val="21"/>
              </w:rPr>
            </w:pPr>
            <w:r>
              <w:rPr>
                <w:rFonts w:hint="eastAsia"/>
                <w:sz w:val="21"/>
                <w:szCs w:val="21"/>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2224" w:type="dxa"/>
            <w:gridSpan w:val="2"/>
            <w:vAlign w:val="center"/>
          </w:tcPr>
          <w:p>
            <w:pPr>
              <w:spacing w:line="240" w:lineRule="exact"/>
              <w:jc w:val="center"/>
              <w:rPr>
                <w:rFonts w:ascii="黑体" w:hAnsi="黑体" w:eastAsia="黑体" w:cs="黑体"/>
                <w:sz w:val="22"/>
              </w:rPr>
            </w:pPr>
            <w:r>
              <w:rPr>
                <w:rFonts w:hint="eastAsia" w:ascii="黑体" w:hAnsi="黑体" w:eastAsia="黑体" w:cs="黑体"/>
                <w:sz w:val="22"/>
              </w:rPr>
              <w:t>提名意见</w:t>
            </w:r>
          </w:p>
        </w:tc>
        <w:tc>
          <w:tcPr>
            <w:tcW w:w="11382" w:type="dxa"/>
            <w:gridSpan w:val="9"/>
            <w:vAlign w:val="center"/>
          </w:tcPr>
          <w:p>
            <w:pPr>
              <w:spacing w:line="240" w:lineRule="exact"/>
              <w:ind w:firstLine="428" w:firstLineChars="200"/>
              <w:jc w:val="center"/>
              <w:rPr>
                <w:rFonts w:cs="Times New Roman"/>
                <w:bCs/>
                <w:color w:val="000000"/>
                <w:sz w:val="21"/>
                <w:szCs w:val="21"/>
                <w:lang w:bidi="ar"/>
              </w:rPr>
            </w:pPr>
            <w:r>
              <w:rPr>
                <w:rFonts w:hint="eastAsia" w:cs="Times New Roman"/>
                <w:color w:val="000000"/>
                <w:spacing w:val="2"/>
                <w:sz w:val="21"/>
                <w:szCs w:val="21"/>
                <w:lang w:bidi="ar"/>
              </w:rPr>
              <w:t>（不超过600字，如实对</w:t>
            </w:r>
            <w:r>
              <w:rPr>
                <w:rFonts w:hint="eastAsia" w:cs="Times New Roman"/>
                <w:color w:val="000000"/>
                <w:sz w:val="21"/>
                <w:szCs w:val="21"/>
                <w:lang w:bidi="ar"/>
              </w:rPr>
              <w:t>科学发现点的原创性、科学价值、国内外自然科学界公认度以及推动学科发展的作用进行概述</w:t>
            </w:r>
            <w:r>
              <w:rPr>
                <w:rFonts w:hint="eastAsia" w:cs="Times New Roman"/>
                <w:bCs/>
                <w:color w:val="000000"/>
                <w:sz w:val="21"/>
                <w:szCs w:val="21"/>
                <w:lang w:bidi="ar"/>
              </w:rPr>
              <w:t>）</w:t>
            </w:r>
          </w:p>
          <w:p>
            <w:pPr>
              <w:spacing w:line="240" w:lineRule="exact"/>
              <w:ind w:firstLine="420" w:firstLineChars="200"/>
              <w:jc w:val="both"/>
              <w:rPr>
                <w:rFonts w:cs="Times New Roman"/>
                <w:bCs/>
                <w:color w:val="000000"/>
                <w:sz w:val="21"/>
                <w:szCs w:val="21"/>
                <w:lang w:bidi="ar"/>
              </w:rPr>
            </w:pPr>
            <w:r>
              <w:rPr>
                <w:rFonts w:hint="eastAsia" w:cs="Times New Roman"/>
                <w:bCs/>
                <w:color w:val="000000"/>
                <w:sz w:val="21"/>
                <w:szCs w:val="21"/>
                <w:lang w:bidi="ar"/>
              </w:rPr>
              <w:t>本项目面向复杂边界湍流数值模拟理论和方法的国际前沿与数值模拟精细化程度日益提高的重大需求，围绕环境水动力学、水工水力学和水力机械水动力学中复杂边界非恒定湍流数值模拟理论、数值模拟方法及其应用开展了深入研究。1</w:t>
            </w:r>
            <w:r>
              <w:rPr>
                <w:rFonts w:cs="Times New Roman"/>
                <w:bCs/>
                <w:color w:val="000000"/>
                <w:sz w:val="21"/>
                <w:szCs w:val="21"/>
                <w:lang w:bidi="ar"/>
              </w:rPr>
              <w:t xml:space="preserve">. </w:t>
            </w:r>
            <w:r>
              <w:rPr>
                <w:rFonts w:hint="eastAsia"/>
                <w:sz w:val="21"/>
                <w:szCs w:val="21"/>
              </w:rPr>
              <w:t>发现了偏置射流的Conada效应，构建了壁射流与偏置射流的大涡模拟模型，解决了强紊动流场难以识别两类射流混合点的难题，形成偏置射流近区稀释理论；2</w:t>
            </w:r>
            <w:r>
              <w:rPr>
                <w:sz w:val="21"/>
                <w:szCs w:val="21"/>
              </w:rPr>
              <w:t>.</w:t>
            </w:r>
            <w:r>
              <w:rPr>
                <w:rFonts w:hint="eastAsia"/>
                <w:sz w:val="21"/>
                <w:szCs w:val="21"/>
              </w:rPr>
              <w:t>首次提出台阶溢流坝水流掺气点确定方法，形成台阶溢流坝消能理论；3</w:t>
            </w:r>
            <w:r>
              <w:rPr>
                <w:sz w:val="21"/>
                <w:szCs w:val="21"/>
              </w:rPr>
              <w:t>.</w:t>
            </w:r>
            <w:r>
              <w:rPr>
                <w:rFonts w:hint="eastAsia"/>
              </w:rPr>
              <w:t xml:space="preserve"> </w:t>
            </w:r>
            <w:r>
              <w:rPr>
                <w:rFonts w:hint="eastAsia"/>
                <w:sz w:val="21"/>
                <w:szCs w:val="21"/>
              </w:rPr>
              <w:t>针对Clark-Y型水翼空化，首次提出基于湍流URANS模拟的验证和确认</w:t>
            </w:r>
            <w:bookmarkStart w:id="0" w:name="_GoBack"/>
            <w:bookmarkEnd w:id="0"/>
            <w:r>
              <w:rPr>
                <w:rFonts w:hint="eastAsia"/>
                <w:sz w:val="21"/>
                <w:szCs w:val="21"/>
              </w:rPr>
              <w:t>（V&amp;V）的安全系数法，突破了空化湍流模拟质量难以提高的瓶颈；4</w:t>
            </w:r>
            <w:r>
              <w:rPr>
                <w:sz w:val="21"/>
                <w:szCs w:val="21"/>
              </w:rPr>
              <w:t xml:space="preserve">. </w:t>
            </w:r>
            <w:r>
              <w:rPr>
                <w:rFonts w:hint="eastAsia"/>
                <w:sz w:val="21"/>
                <w:szCs w:val="21"/>
              </w:rPr>
              <w:t>构建了考虑空化区域强可压的非线性湍流模型，揭示了云空化脱落机理及时空演变特性，形成翼型空化模拟理论。</w:t>
            </w:r>
            <w:r>
              <w:rPr>
                <w:rFonts w:hint="eastAsia" w:cs="Times New Roman"/>
                <w:bCs/>
                <w:color w:val="000000"/>
                <w:sz w:val="21"/>
                <w:szCs w:val="21"/>
                <w:lang w:bidi="ar"/>
              </w:rPr>
              <w:t>取得的系列原创性成果，得到美国纽约科学院院士Chanson教授、加拿大工程院院士David Zhu教授、印度科学院与工程院院士V. Ranade教授等的高度肯定与评价，有力支撑了水资源与水电工程科学国家重点实验室的建设，促进了水利水电工程学科跨越式发展。</w:t>
            </w:r>
          </w:p>
          <w:p>
            <w:pPr>
              <w:spacing w:line="240" w:lineRule="exact"/>
              <w:ind w:firstLine="420" w:firstLineChars="200"/>
              <w:jc w:val="both"/>
              <w:rPr>
                <w:rFonts w:ascii="宋体" w:hAnsi="宋体" w:eastAsia="宋体" w:cs="Times New Roman"/>
                <w:bCs/>
                <w:color w:val="000000"/>
                <w:sz w:val="21"/>
                <w:szCs w:val="21"/>
                <w:lang w:bidi="ar"/>
              </w:rPr>
            </w:pPr>
            <w:r>
              <w:rPr>
                <w:rFonts w:hint="eastAsia" w:cs="Times New Roman"/>
                <w:bCs/>
                <w:color w:val="000000"/>
                <w:sz w:val="21"/>
                <w:szCs w:val="21"/>
                <w:lang w:bidi="ar"/>
              </w:rPr>
              <w:t>对照自然科学奖授奖条件，决定提名该项目为2020年度湖北省自然科学奖一等奖。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gridSpan w:val="2"/>
            <w:vAlign w:val="center"/>
          </w:tcPr>
          <w:p>
            <w:pPr>
              <w:spacing w:line="240" w:lineRule="exact"/>
              <w:jc w:val="center"/>
              <w:rPr>
                <w:sz w:val="22"/>
              </w:rPr>
            </w:pPr>
            <w:r>
              <w:rPr>
                <w:rFonts w:hint="eastAsia" w:ascii="黑体" w:hAnsi="黑体" w:eastAsia="黑体" w:cs="黑体"/>
                <w:sz w:val="22"/>
              </w:rPr>
              <w:t>项目简介</w:t>
            </w:r>
          </w:p>
        </w:tc>
        <w:tc>
          <w:tcPr>
            <w:tcW w:w="11382" w:type="dxa"/>
            <w:gridSpan w:val="9"/>
            <w:vAlign w:val="center"/>
          </w:tcPr>
          <w:p>
            <w:pPr>
              <w:spacing w:line="240" w:lineRule="exact"/>
              <w:ind w:firstLine="420" w:firstLineChars="200"/>
              <w:jc w:val="both"/>
              <w:rPr>
                <w:sz w:val="21"/>
                <w:szCs w:val="21"/>
              </w:rPr>
            </w:pPr>
            <w:r>
              <w:rPr>
                <w:rFonts w:hint="eastAsia"/>
                <w:sz w:val="21"/>
                <w:szCs w:val="21"/>
              </w:rPr>
              <w:t>该项目属于水利工程(570)领域。2005年《Science》列出的125个重要科学问题中唯一与水力学直接相关的是“能否发展关于湍流动力学和颗粒材料运动学的综合理论”，复杂边界多相湍流数值模拟理论及应用作为这类重要科学问题的一个典型难题，是传统水力学面临的新挑战。为此，该项目在国家重大水专项、国家自然科学基金重点和面上项目资助下，历经十余年研究，建立了复杂边界多相湍流数值模拟理论体系，解决了水流模拟边界复杂且精细化程度难以提高这一难题，实现了复杂边界高精度模拟与计算的重大突破，带动了计算水力学学科发展，为研发废水排放、泄洪消能和水下推进设备提供了重要理论支撑。主要科学发现有： 1. 发现了偏置射流和壁射流相互吸附的Conada效应，构建了壁射流与偏置射流共存的大涡模拟模型，首次实现了该类流动瞬时流场及浓度场的准确描述，解决了强紊动流场难以识别两类射流混合点的难题，形成偏置射流近区稀释理论。CSCE Fellow、加拿大渥太华大学Nistor教授（IAHR海事与海岸分会主席）评价为首次（for the first time）采用大涡模拟模型（LES）模拟了偏置射流和平行壁射流的相互作用（即Conada效应）。 2.  构建了考虑流体微团旋转效应的Realizable k-ε模型的水气两相混合模型，实现了对台阶溢流坝坝面流速、旋度、边界层厚度等的准确模拟，首次提出台阶溢流坝水流掺气点确定方法，形成台阶溢流坝消能理论。加拿大工程院院士、艾伯塔大学 David Zhu教授认为“是最高效的(the most efficient)湍流模型”。3. 针对Clark-Y型水翼空化，首次提出基于湍流URANS模拟的验证和确认（V&amp;V）的安全系数法，突破了空化湍流模拟质量难以提高的瓶颈，揭示了空化非定常脱落是造成数值计算误差大幅度增加的主因，并发现模型确认的难度主要在于如何提高空化区的模拟精度。印度技术学院S. Sinha教授（湍流流动和燃烧模拟的权威、OpenFoam主要引领者之一）认为该方法是成功的，并将其列为未来的主攻方向（in our future work）。 4. 构建了考虑空化区域强可压的非线性湍流模型，实现了空化与旋涡的交互影响机理以及叶片附着型空化的非定常流动特性的精细模拟，揭示了云空化脱落机理及时空演变特性，形成翼型空化模拟理论。印度科学院与工程院院士、英国贝尔法斯特女王大学V. Ranade教授认为该理论是（reliable）可靠的。 5篇代表作发表在Ocean Engineering等国际水利领域主流期刊，其中1篇获JHD高被引论文奖，1篇入选ESI高被引论文(单篇最高他引121次)，1篇论文获湖北省优秀论文一等奖。据Web of Science数据库统计，项目第一完成人在“偏置射流和大涡模拟” 主题发表国际首篇SCI论文（且SCI他引全球第一），引领了数值优化扩散器稀释特性的发展方向。5篇代表作SCI他引26</w:t>
            </w:r>
            <w:r>
              <w:rPr>
                <w:sz w:val="21"/>
                <w:szCs w:val="21"/>
              </w:rPr>
              <w:t>5</w:t>
            </w:r>
            <w:r>
              <w:rPr>
                <w:rFonts w:hint="eastAsia"/>
                <w:sz w:val="21"/>
                <w:szCs w:val="21"/>
              </w:rPr>
              <w:t>次，引文发表于Journal of Fluids Engineering等国际水利领域顶级期刊，作者来自于加拿大Alberta大学土木环境工程系等160多个权威研究机构，包括4位院士、15位国际期刊主编和副主编或国际权威学会Fellow。美国纽约科学院院士Chanson教授、加拿大工程院院士David Zhu教授、印度科学院与工程院院士V. Ranade教授、STA Fellow，韩国首尔大学SH Rhee教授(国际期刊IJNAOE主编)“特别推荐并认为可作为未来研究方向（be considered as future work)”、“是重要的 (important)工作”、“首次 (for the first time)大涡模拟”、“成功地(successfully)预测”。 成果获软件著作权</w:t>
            </w:r>
            <w:r>
              <w:rPr>
                <w:sz w:val="21"/>
                <w:szCs w:val="21"/>
              </w:rPr>
              <w:t>7</w:t>
            </w:r>
            <w:r>
              <w:rPr>
                <w:rFonts w:hint="eastAsia"/>
                <w:sz w:val="21"/>
                <w:szCs w:val="21"/>
              </w:rPr>
              <w:t>项，研发的废水排放扩散器装置和消能设计应用于大型水电、核电、火电及环境工程中，包括单机船闸规模世界第一的大藤峡水利枢纽工程的船闸冲/泄水系统、绥中36-1油田含油污水排放扩散器工程、江苏溧阳抽水蓄能电站上水库进/出水口工程等。1人担任SCI收录期刊Journal of Hydro-environment Research 和Journal of Hydrodynamics副主编, 1人获国家有突出贡献中青年专家，</w:t>
            </w:r>
            <w:r>
              <w:rPr>
                <w:sz w:val="21"/>
                <w:szCs w:val="21"/>
              </w:rPr>
              <w:t>3</w:t>
            </w:r>
            <w:r>
              <w:rPr>
                <w:rFonts w:hint="eastAsia"/>
                <w:sz w:val="21"/>
                <w:szCs w:val="21"/>
              </w:rPr>
              <w:t>人获国家优秀青年科学基金，2人获湖北省优博论文，1人获国际生态水力学栗田奖（Kurita Award）。为提升中国科学家在复杂边界多相湍流精细模拟理论和方法等领域的国际影响和地位做出了实质性贡献。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gridSpan w:val="2"/>
            <w:vAlign w:val="center"/>
          </w:tcPr>
          <w:p>
            <w:pPr>
              <w:spacing w:line="280" w:lineRule="exact"/>
              <w:jc w:val="center"/>
              <w:rPr>
                <w:rFonts w:ascii="黑体" w:hAnsi="黑体" w:eastAsia="黑体" w:cs="黑体"/>
                <w:sz w:val="22"/>
              </w:rPr>
            </w:pPr>
            <w:r>
              <w:rPr>
                <w:rFonts w:hint="eastAsia" w:ascii="黑体" w:hAnsi="黑体" w:eastAsia="黑体" w:cs="黑体"/>
                <w:sz w:val="22"/>
              </w:rPr>
              <w:t>主要完成人</w:t>
            </w:r>
          </w:p>
          <w:p>
            <w:pPr>
              <w:spacing w:line="280" w:lineRule="exact"/>
              <w:jc w:val="center"/>
              <w:rPr>
                <w:sz w:val="22"/>
              </w:rPr>
            </w:pPr>
            <w:r>
              <w:rPr>
                <w:rFonts w:hint="eastAsia" w:ascii="黑体" w:hAnsi="黑体" w:eastAsia="黑体" w:cs="黑体"/>
                <w:sz w:val="22"/>
              </w:rPr>
              <w:t>（完成单位）</w:t>
            </w:r>
          </w:p>
        </w:tc>
        <w:tc>
          <w:tcPr>
            <w:tcW w:w="11382" w:type="dxa"/>
            <w:gridSpan w:val="9"/>
            <w:vAlign w:val="center"/>
          </w:tcPr>
          <w:p>
            <w:pPr>
              <w:spacing w:line="240" w:lineRule="exact"/>
              <w:ind w:firstLine="420" w:firstLineChars="200"/>
              <w:rPr>
                <w:sz w:val="21"/>
                <w:szCs w:val="21"/>
              </w:rPr>
            </w:pPr>
            <w:r>
              <w:rPr>
                <w:rFonts w:hint="eastAsia"/>
                <w:sz w:val="21"/>
                <w:szCs w:val="21"/>
              </w:rPr>
              <w:t>槐文信（武汉大学），季斌（武汉大学），龙新平（武汉大学），钱忠东（武汉大学），罗先武（清华大学）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606" w:type="dxa"/>
            <w:gridSpan w:val="11"/>
            <w:vAlign w:val="center"/>
          </w:tcPr>
          <w:p>
            <w:pPr>
              <w:pStyle w:val="7"/>
              <w:widowControl w:val="0"/>
              <w:adjustRightInd w:val="0"/>
              <w:spacing w:line="240" w:lineRule="exact"/>
              <w:jc w:val="center"/>
              <w:outlineLvl w:val="1"/>
              <w:rPr>
                <w:rFonts w:ascii="宋体" w:hAnsi="宋体" w:eastAsia="宋体" w:cs="宋体"/>
                <w:color w:val="000000"/>
                <w:sz w:val="21"/>
                <w:szCs w:val="28"/>
                <w:lang w:bidi="ar"/>
              </w:rPr>
            </w:pPr>
            <w:r>
              <w:rPr>
                <w:rFonts w:hint="eastAsia" w:ascii="黑体" w:hAnsi="黑体" w:eastAsia="黑体" w:cs="黑体"/>
                <w:color w:val="000000"/>
                <w:sz w:val="22"/>
                <w:lang w:bidi="ar"/>
              </w:rPr>
              <w:t>代表性论文（专著）目录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65" w:type="dxa"/>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序号</w:t>
            </w:r>
          </w:p>
        </w:tc>
        <w:tc>
          <w:tcPr>
            <w:tcW w:w="2501" w:type="dxa"/>
            <w:gridSpan w:val="2"/>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论文（专著）名称/刊名/作者</w:t>
            </w:r>
          </w:p>
        </w:tc>
        <w:tc>
          <w:tcPr>
            <w:tcW w:w="1814" w:type="dxa"/>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年卷页码</w:t>
            </w:r>
          </w:p>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（xx年xx卷xx页）</w:t>
            </w:r>
          </w:p>
        </w:tc>
        <w:tc>
          <w:tcPr>
            <w:tcW w:w="1175" w:type="dxa"/>
            <w:vAlign w:val="center"/>
          </w:tcPr>
          <w:p>
            <w:pPr>
              <w:pStyle w:val="7"/>
              <w:widowControl w:val="0"/>
              <w:adjustRightInd w:val="0"/>
              <w:spacing w:line="240" w:lineRule="exact"/>
              <w:jc w:val="center"/>
              <w:rPr>
                <w:rFonts w:ascii="黑体" w:hAnsi="黑体" w:eastAsia="黑体" w:cs="黑体"/>
                <w:color w:val="000000"/>
                <w:sz w:val="18"/>
                <w:szCs w:val="18"/>
                <w:lang w:bidi="ar"/>
              </w:rPr>
            </w:pPr>
            <w:r>
              <w:rPr>
                <w:rFonts w:hint="eastAsia" w:ascii="黑体" w:hAnsi="黑体" w:eastAsia="黑体" w:cs="黑体"/>
                <w:color w:val="000000"/>
                <w:sz w:val="18"/>
                <w:szCs w:val="18"/>
                <w:lang w:bidi="ar"/>
              </w:rPr>
              <w:t>发表时间</w:t>
            </w:r>
          </w:p>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 年 月 日）</w:t>
            </w:r>
          </w:p>
        </w:tc>
        <w:tc>
          <w:tcPr>
            <w:tcW w:w="1211" w:type="dxa"/>
            <w:vAlign w:val="center"/>
          </w:tcPr>
          <w:p>
            <w:pPr>
              <w:pStyle w:val="7"/>
              <w:widowControl w:val="0"/>
              <w:adjustRightInd w:val="0"/>
              <w:spacing w:line="240" w:lineRule="exact"/>
              <w:jc w:val="center"/>
              <w:rPr>
                <w:rFonts w:ascii="黑体" w:hAnsi="黑体" w:eastAsia="黑体" w:cs="黑体"/>
                <w:color w:val="000000"/>
                <w:sz w:val="18"/>
                <w:szCs w:val="18"/>
                <w:lang w:bidi="ar"/>
              </w:rPr>
            </w:pPr>
            <w:r>
              <w:rPr>
                <w:rFonts w:hint="eastAsia" w:ascii="黑体" w:hAnsi="黑体" w:eastAsia="黑体" w:cs="黑体"/>
                <w:color w:val="000000"/>
                <w:sz w:val="18"/>
                <w:szCs w:val="18"/>
                <w:lang w:bidi="ar"/>
              </w:rPr>
              <w:t>通讯作者</w:t>
            </w:r>
          </w:p>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（含共同）</w:t>
            </w:r>
          </w:p>
        </w:tc>
        <w:tc>
          <w:tcPr>
            <w:tcW w:w="1154" w:type="dxa"/>
            <w:vAlign w:val="center"/>
          </w:tcPr>
          <w:p>
            <w:pPr>
              <w:pStyle w:val="7"/>
              <w:widowControl w:val="0"/>
              <w:adjustRightInd w:val="0"/>
              <w:spacing w:line="240" w:lineRule="exact"/>
              <w:jc w:val="center"/>
              <w:rPr>
                <w:rFonts w:ascii="黑体" w:hAnsi="黑体" w:eastAsia="黑体" w:cs="黑体"/>
                <w:color w:val="000000"/>
                <w:sz w:val="18"/>
                <w:szCs w:val="18"/>
                <w:lang w:bidi="ar"/>
              </w:rPr>
            </w:pPr>
            <w:r>
              <w:rPr>
                <w:rFonts w:hint="eastAsia" w:ascii="黑体" w:hAnsi="黑体" w:eastAsia="黑体" w:cs="黑体"/>
                <w:color w:val="000000"/>
                <w:sz w:val="18"/>
                <w:szCs w:val="18"/>
                <w:lang w:bidi="ar"/>
              </w:rPr>
              <w:t>第一作者</w:t>
            </w:r>
          </w:p>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（含共同）</w:t>
            </w:r>
          </w:p>
        </w:tc>
        <w:tc>
          <w:tcPr>
            <w:tcW w:w="1241" w:type="dxa"/>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国内作者</w:t>
            </w:r>
          </w:p>
        </w:tc>
        <w:tc>
          <w:tcPr>
            <w:tcW w:w="1211" w:type="dxa"/>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他引总次数</w:t>
            </w:r>
          </w:p>
        </w:tc>
        <w:tc>
          <w:tcPr>
            <w:tcW w:w="1209" w:type="dxa"/>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检索数据库</w:t>
            </w:r>
          </w:p>
        </w:tc>
        <w:tc>
          <w:tcPr>
            <w:tcW w:w="1425" w:type="dxa"/>
            <w:vAlign w:val="center"/>
          </w:tcPr>
          <w:p>
            <w:pPr>
              <w:pStyle w:val="7"/>
              <w:widowControl w:val="0"/>
              <w:adjustRightInd w:val="0"/>
              <w:spacing w:line="240" w:lineRule="exact"/>
              <w:jc w:val="center"/>
              <w:rPr>
                <w:rFonts w:ascii="黑体" w:hAnsi="黑体" w:eastAsia="黑体" w:cs="黑体"/>
                <w:color w:val="000000"/>
                <w:sz w:val="18"/>
                <w:szCs w:val="18"/>
              </w:rPr>
            </w:pPr>
            <w:r>
              <w:rPr>
                <w:rFonts w:hint="eastAsia" w:ascii="黑体" w:hAnsi="黑体" w:eastAsia="黑体" w:cs="黑体"/>
                <w:color w:val="000000"/>
                <w:sz w:val="18"/>
                <w:szCs w:val="18"/>
                <w:lang w:bidi="ar"/>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6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lang w:bidi="ar"/>
              </w:rPr>
              <w:t>1</w:t>
            </w:r>
          </w:p>
        </w:tc>
        <w:tc>
          <w:tcPr>
            <w:tcW w:w="2501" w:type="dxa"/>
            <w:gridSpan w:val="2"/>
            <w:vAlign w:val="center"/>
          </w:tcPr>
          <w:p>
            <w:pPr>
              <w:pStyle w:val="7"/>
              <w:widowControl w:val="0"/>
              <w:adjustRightInd w:val="0"/>
              <w:spacing w:line="240" w:lineRule="exact"/>
              <w:jc w:val="both"/>
              <w:outlineLvl w:val="1"/>
              <w:rPr>
                <w:rFonts w:ascii="宋体" w:hAnsi="宋体" w:eastAsia="宋体" w:cs="宋体"/>
                <w:color w:val="000000"/>
                <w:sz w:val="18"/>
                <w:szCs w:val="18"/>
              </w:rPr>
            </w:pPr>
            <w:r>
              <w:rPr>
                <w:rFonts w:hint="eastAsia" w:ascii="宋体" w:hAnsi="宋体" w:eastAsia="宋体" w:cs="宋体"/>
                <w:color w:val="000000"/>
                <w:sz w:val="18"/>
                <w:szCs w:val="18"/>
              </w:rPr>
              <w:t>Large eddy simulation of the interaction between wall jet and offset jet，Journal of Hydrodynamics.李志伟，槐文信，韩杰</w:t>
            </w:r>
          </w:p>
        </w:tc>
        <w:tc>
          <w:tcPr>
            <w:tcW w:w="1814"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2011,23（5）:</w:t>
            </w:r>
          </w:p>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 xml:space="preserve"> 544-553</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asciiTheme="majorHAnsi" w:hAnsiTheme="majorHAnsi"/>
                <w:sz w:val="18"/>
                <w:szCs w:val="18"/>
              </w:rPr>
              <w:t>2011.10.30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槐文信</w:t>
            </w:r>
          </w:p>
        </w:tc>
        <w:tc>
          <w:tcPr>
            <w:tcW w:w="1154"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李志伟</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李志伟，槐文信</w:t>
            </w:r>
          </w:p>
          <w:p>
            <w:pPr>
              <w:jc w:val="center"/>
              <w:rPr>
                <w:rFonts w:asciiTheme="majorHAnsi" w:hAnsiTheme="majorHAnsi"/>
                <w:sz w:val="18"/>
                <w:szCs w:val="18"/>
              </w:rPr>
            </w:pPr>
            <w:r>
              <w:rPr>
                <w:rFonts w:hint="eastAsia" w:asciiTheme="majorHAnsi" w:hAnsiTheme="majorHAnsi"/>
                <w:sz w:val="18"/>
                <w:szCs w:val="18"/>
              </w:rPr>
              <w:t>韩杰</w:t>
            </w:r>
          </w:p>
        </w:tc>
        <w:tc>
          <w:tcPr>
            <w:tcW w:w="1211"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2</w:t>
            </w:r>
            <w:r>
              <w:rPr>
                <w:rFonts w:ascii="宋体" w:hAnsi="宋体" w:eastAsia="宋体" w:cs="宋体"/>
                <w:color w:val="000000"/>
                <w:sz w:val="18"/>
                <w:szCs w:val="18"/>
              </w:rPr>
              <w:t>1</w:t>
            </w:r>
          </w:p>
        </w:tc>
        <w:tc>
          <w:tcPr>
            <w:tcW w:w="1209"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Web of science</w:t>
            </w:r>
          </w:p>
        </w:tc>
        <w:tc>
          <w:tcPr>
            <w:tcW w:w="142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6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lang w:bidi="ar"/>
              </w:rPr>
              <w:t>2</w:t>
            </w:r>
          </w:p>
        </w:tc>
        <w:tc>
          <w:tcPr>
            <w:tcW w:w="2501" w:type="dxa"/>
            <w:gridSpan w:val="2"/>
            <w:vAlign w:val="center"/>
          </w:tcPr>
          <w:p>
            <w:pPr>
              <w:pStyle w:val="7"/>
              <w:widowControl w:val="0"/>
              <w:adjustRightInd w:val="0"/>
              <w:spacing w:line="240" w:lineRule="exact"/>
              <w:jc w:val="both"/>
              <w:outlineLvl w:val="1"/>
              <w:rPr>
                <w:rFonts w:ascii="宋体" w:hAnsi="宋体" w:eastAsia="宋体" w:cs="宋体"/>
                <w:color w:val="000000"/>
                <w:sz w:val="18"/>
                <w:szCs w:val="18"/>
              </w:rPr>
            </w:pPr>
            <w:r>
              <w:rPr>
                <w:rFonts w:hint="eastAsia" w:ascii="宋体" w:hAnsi="宋体" w:eastAsia="宋体" w:cs="宋体"/>
                <w:color w:val="000000"/>
                <w:sz w:val="18"/>
                <w:szCs w:val="18"/>
              </w:rPr>
              <w:t>Numerical simulation and analysis of water flow over stepped spillways， Science in china series E-technological sciences. 钱忠东，胡晓清，槐文信，</w:t>
            </w:r>
            <w:r>
              <w:rPr>
                <w:rFonts w:ascii="宋体" w:hAnsi="宋体" w:eastAsia="宋体" w:cs="宋体"/>
                <w:color w:val="000000"/>
                <w:sz w:val="18"/>
                <w:szCs w:val="18"/>
              </w:rPr>
              <w:t>AMADOR António</w:t>
            </w:r>
          </w:p>
        </w:tc>
        <w:tc>
          <w:tcPr>
            <w:tcW w:w="1814"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2009, 52(7)：1958-1965</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2</w:t>
            </w:r>
            <w:r>
              <w:rPr>
                <w:rFonts w:asciiTheme="majorHAnsi" w:hAnsiTheme="majorHAnsi"/>
                <w:sz w:val="18"/>
                <w:szCs w:val="18"/>
              </w:rPr>
              <w:t>009.07.30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钱忠东</w:t>
            </w:r>
          </w:p>
        </w:tc>
        <w:tc>
          <w:tcPr>
            <w:tcW w:w="1154"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钱忠东</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 xml:space="preserve">钱忠东 胡晓清 </w:t>
            </w:r>
          </w:p>
          <w:p>
            <w:pPr>
              <w:jc w:val="center"/>
              <w:rPr>
                <w:rFonts w:asciiTheme="majorHAnsi" w:hAnsiTheme="majorHAnsi"/>
                <w:sz w:val="18"/>
                <w:szCs w:val="18"/>
              </w:rPr>
            </w:pPr>
            <w:r>
              <w:rPr>
                <w:rFonts w:hint="eastAsia" w:asciiTheme="majorHAnsi" w:hAnsiTheme="majorHAnsi"/>
                <w:sz w:val="18"/>
                <w:szCs w:val="18"/>
              </w:rPr>
              <w:t>槐文信</w:t>
            </w:r>
          </w:p>
        </w:tc>
        <w:tc>
          <w:tcPr>
            <w:tcW w:w="1211"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33</w:t>
            </w:r>
          </w:p>
        </w:tc>
        <w:tc>
          <w:tcPr>
            <w:tcW w:w="1209"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Web of science</w:t>
            </w:r>
          </w:p>
        </w:tc>
        <w:tc>
          <w:tcPr>
            <w:tcW w:w="142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6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lang w:bidi="ar"/>
              </w:rPr>
              <w:t>3</w:t>
            </w:r>
          </w:p>
        </w:tc>
        <w:tc>
          <w:tcPr>
            <w:tcW w:w="2501" w:type="dxa"/>
            <w:gridSpan w:val="2"/>
            <w:vAlign w:val="center"/>
          </w:tcPr>
          <w:p>
            <w:pPr>
              <w:pStyle w:val="7"/>
              <w:widowControl w:val="0"/>
              <w:adjustRightInd w:val="0"/>
              <w:spacing w:line="240" w:lineRule="exact"/>
              <w:jc w:val="both"/>
              <w:outlineLvl w:val="1"/>
              <w:rPr>
                <w:rFonts w:ascii="宋体" w:hAnsi="宋体" w:eastAsia="宋体" w:cs="宋体"/>
                <w:color w:val="000000"/>
                <w:sz w:val="18"/>
                <w:szCs w:val="18"/>
              </w:rPr>
            </w:pPr>
            <w:r>
              <w:rPr>
                <w:rFonts w:hint="eastAsia" w:ascii="宋体" w:hAnsi="宋体" w:eastAsia="宋体" w:cs="宋体"/>
                <w:color w:val="000000"/>
                <w:sz w:val="18"/>
                <w:szCs w:val="18"/>
              </w:rPr>
              <w:t>Verification and validation of URANS simulations of the turbulent cavitating flow around the hydrofoil.             Journal of Hydrodynamics, 龙云，龙新平，季斌，槐文信，钱忠东</w:t>
            </w:r>
          </w:p>
        </w:tc>
        <w:tc>
          <w:tcPr>
            <w:tcW w:w="1814"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2017，29（4）：</w:t>
            </w:r>
          </w:p>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610-621</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2</w:t>
            </w:r>
            <w:r>
              <w:rPr>
                <w:rFonts w:asciiTheme="majorHAnsi" w:hAnsiTheme="majorHAnsi"/>
                <w:sz w:val="18"/>
                <w:szCs w:val="18"/>
              </w:rPr>
              <w:t>017.07.30</w:t>
            </w:r>
          </w:p>
        </w:tc>
        <w:tc>
          <w:tcPr>
            <w:tcW w:w="1211"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季斌</w:t>
            </w:r>
          </w:p>
        </w:tc>
        <w:tc>
          <w:tcPr>
            <w:tcW w:w="1154"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龙云</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龙云 龙新平 季斌 槐文信 钱忠东</w:t>
            </w:r>
          </w:p>
        </w:tc>
        <w:tc>
          <w:tcPr>
            <w:tcW w:w="1211"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3</w:t>
            </w:r>
            <w:r>
              <w:rPr>
                <w:rFonts w:ascii="宋体" w:hAnsi="宋体" w:eastAsia="宋体" w:cs="宋体"/>
                <w:color w:val="000000"/>
                <w:sz w:val="18"/>
                <w:szCs w:val="18"/>
              </w:rPr>
              <w:t>1</w:t>
            </w:r>
          </w:p>
        </w:tc>
        <w:tc>
          <w:tcPr>
            <w:tcW w:w="1209"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Web of science</w:t>
            </w:r>
          </w:p>
        </w:tc>
        <w:tc>
          <w:tcPr>
            <w:tcW w:w="142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6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lang w:bidi="ar"/>
              </w:rPr>
              <w:t>4</w:t>
            </w:r>
          </w:p>
        </w:tc>
        <w:tc>
          <w:tcPr>
            <w:tcW w:w="2501" w:type="dxa"/>
            <w:gridSpan w:val="2"/>
            <w:vAlign w:val="center"/>
          </w:tcPr>
          <w:p>
            <w:pPr>
              <w:pStyle w:val="7"/>
              <w:widowControl w:val="0"/>
              <w:adjustRightInd w:val="0"/>
              <w:spacing w:line="240" w:lineRule="exact"/>
              <w:jc w:val="both"/>
              <w:outlineLvl w:val="1"/>
              <w:rPr>
                <w:rFonts w:ascii="宋体" w:hAnsi="宋体" w:eastAsia="宋体" w:cs="宋体"/>
                <w:color w:val="000000"/>
                <w:sz w:val="18"/>
                <w:szCs w:val="18"/>
              </w:rPr>
            </w:pPr>
            <w:r>
              <w:rPr>
                <w:rFonts w:hint="eastAsia" w:ascii="宋体" w:hAnsi="宋体" w:eastAsia="宋体" w:cs="宋体"/>
                <w:color w:val="000000"/>
                <w:sz w:val="18"/>
                <w:szCs w:val="18"/>
              </w:rPr>
              <w:t>Numerical simulation of three dimensional cavitation shedding dynamics with special emphasis on cavitation-vortex interaction. Ocean engineering.季斌，罗先武，Arndt Roger，吴玉林</w:t>
            </w:r>
          </w:p>
        </w:tc>
        <w:tc>
          <w:tcPr>
            <w:tcW w:w="1814"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2014，87:</w:t>
            </w:r>
          </w:p>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 xml:space="preserve"> 64-77</w:t>
            </w:r>
          </w:p>
        </w:tc>
        <w:tc>
          <w:tcPr>
            <w:tcW w:w="1175" w:type="dxa"/>
            <w:tcBorders>
              <w:left w:val="single" w:color="auto" w:sz="4" w:space="0"/>
              <w:right w:val="single" w:color="auto" w:sz="4" w:space="0"/>
            </w:tcBorders>
            <w:vAlign w:val="center"/>
          </w:tcPr>
          <w:p>
            <w:pPr>
              <w:jc w:val="center"/>
              <w:rPr>
                <w:rFonts w:asciiTheme="majorHAnsi" w:hAnsiTheme="majorHAnsi"/>
                <w:sz w:val="18"/>
                <w:szCs w:val="18"/>
              </w:rPr>
            </w:pPr>
            <w:r>
              <w:rPr>
                <w:rFonts w:asciiTheme="majorHAnsi" w:hAnsiTheme="majorHAnsi"/>
                <w:sz w:val="18"/>
                <w:szCs w:val="18"/>
              </w:rPr>
              <w:t>2014.09.30</w:t>
            </w:r>
          </w:p>
        </w:tc>
        <w:tc>
          <w:tcPr>
            <w:tcW w:w="1211" w:type="dxa"/>
            <w:tcBorders>
              <w:left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罗先武</w:t>
            </w:r>
          </w:p>
        </w:tc>
        <w:tc>
          <w:tcPr>
            <w:tcW w:w="1154" w:type="dxa"/>
            <w:tcBorders>
              <w:left w:val="single" w:color="auto" w:sz="4" w:space="0"/>
              <w:right w:val="single" w:color="auto" w:sz="4" w:space="0"/>
            </w:tcBorders>
            <w:vAlign w:val="center"/>
          </w:tcPr>
          <w:p>
            <w:pPr>
              <w:jc w:val="center"/>
              <w:rPr>
                <w:rFonts w:asciiTheme="majorHAnsi" w:hAnsiTheme="majorHAnsi"/>
                <w:sz w:val="18"/>
                <w:szCs w:val="18"/>
              </w:rPr>
            </w:pPr>
            <w:r>
              <w:rPr>
                <w:rFonts w:asciiTheme="majorHAnsi" w:hAnsiTheme="majorHAnsi"/>
                <w:sz w:val="18"/>
                <w:szCs w:val="18"/>
              </w:rPr>
              <w:t>季斌</w:t>
            </w:r>
          </w:p>
        </w:tc>
        <w:tc>
          <w:tcPr>
            <w:tcW w:w="1241" w:type="dxa"/>
            <w:tcBorders>
              <w:left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罗先武 季斌</w:t>
            </w:r>
          </w:p>
          <w:p>
            <w:pPr>
              <w:jc w:val="center"/>
              <w:rPr>
                <w:rFonts w:asciiTheme="majorHAnsi" w:hAnsiTheme="majorHAnsi"/>
                <w:sz w:val="18"/>
                <w:szCs w:val="18"/>
              </w:rPr>
            </w:pPr>
            <w:r>
              <w:rPr>
                <w:rFonts w:hint="eastAsia" w:asciiTheme="majorHAnsi" w:hAnsiTheme="majorHAnsi"/>
                <w:sz w:val="18"/>
                <w:szCs w:val="18"/>
              </w:rPr>
              <w:t>吴玉林</w:t>
            </w:r>
          </w:p>
        </w:tc>
        <w:tc>
          <w:tcPr>
            <w:tcW w:w="1211"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1</w:t>
            </w:r>
            <w:r>
              <w:rPr>
                <w:rFonts w:ascii="宋体" w:hAnsi="宋体" w:eastAsia="宋体" w:cs="宋体"/>
                <w:color w:val="000000"/>
                <w:sz w:val="18"/>
                <w:szCs w:val="18"/>
              </w:rPr>
              <w:t>21</w:t>
            </w:r>
          </w:p>
        </w:tc>
        <w:tc>
          <w:tcPr>
            <w:tcW w:w="1209"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Web of science</w:t>
            </w:r>
          </w:p>
        </w:tc>
        <w:tc>
          <w:tcPr>
            <w:tcW w:w="142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66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lang w:bidi="ar"/>
              </w:rPr>
              <w:t>5</w:t>
            </w:r>
          </w:p>
        </w:tc>
        <w:tc>
          <w:tcPr>
            <w:tcW w:w="2501" w:type="dxa"/>
            <w:gridSpan w:val="2"/>
            <w:vAlign w:val="center"/>
          </w:tcPr>
          <w:p>
            <w:pPr>
              <w:pStyle w:val="7"/>
              <w:widowControl w:val="0"/>
              <w:adjustRightInd w:val="0"/>
              <w:spacing w:line="240" w:lineRule="exact"/>
              <w:jc w:val="both"/>
              <w:outlineLvl w:val="1"/>
              <w:rPr>
                <w:rFonts w:ascii="宋体" w:hAnsi="宋体" w:eastAsia="宋体" w:cs="宋体"/>
                <w:color w:val="000000"/>
                <w:sz w:val="18"/>
                <w:szCs w:val="18"/>
              </w:rPr>
            </w:pPr>
            <w:r>
              <w:rPr>
                <w:rFonts w:hint="eastAsia" w:ascii="宋体" w:hAnsi="宋体" w:eastAsia="宋体" w:cs="宋体"/>
                <w:color w:val="000000"/>
                <w:sz w:val="18"/>
                <w:szCs w:val="18"/>
              </w:rPr>
              <w:t>Numerical investigation on the mixing process in a steam ejector with different nozzle structures, International Journal of Thermal Sciences.杨雪龙，龙新平，姚鑫</w:t>
            </w:r>
          </w:p>
        </w:tc>
        <w:tc>
          <w:tcPr>
            <w:tcW w:w="1814"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2013,25（4）：</w:t>
            </w:r>
          </w:p>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510-519</w:t>
            </w:r>
          </w:p>
        </w:tc>
        <w:tc>
          <w:tcPr>
            <w:tcW w:w="1175" w:type="dxa"/>
            <w:tcBorders>
              <w:left w:val="single" w:color="auto" w:sz="4" w:space="0"/>
              <w:right w:val="single" w:color="auto" w:sz="4" w:space="0"/>
            </w:tcBorders>
            <w:vAlign w:val="center"/>
          </w:tcPr>
          <w:p>
            <w:pPr>
              <w:jc w:val="center"/>
              <w:rPr>
                <w:rFonts w:asciiTheme="majorHAnsi" w:hAnsiTheme="majorHAnsi"/>
                <w:sz w:val="18"/>
                <w:szCs w:val="18"/>
              </w:rPr>
            </w:pPr>
            <w:r>
              <w:rPr>
                <w:rFonts w:asciiTheme="majorHAnsi" w:hAnsiTheme="majorHAnsi"/>
                <w:sz w:val="18"/>
                <w:szCs w:val="18"/>
              </w:rPr>
              <w:t>20</w:t>
            </w:r>
            <w:r>
              <w:rPr>
                <w:rFonts w:hint="eastAsia" w:asciiTheme="majorHAnsi" w:hAnsiTheme="majorHAnsi"/>
                <w:sz w:val="18"/>
                <w:szCs w:val="18"/>
              </w:rPr>
              <w:t>13</w:t>
            </w:r>
            <w:r>
              <w:rPr>
                <w:rFonts w:asciiTheme="majorHAnsi" w:hAnsiTheme="majorHAnsi"/>
                <w:sz w:val="18"/>
                <w:szCs w:val="18"/>
              </w:rPr>
              <w:t>.08.30</w:t>
            </w:r>
          </w:p>
        </w:tc>
        <w:tc>
          <w:tcPr>
            <w:tcW w:w="1211" w:type="dxa"/>
            <w:tcBorders>
              <w:left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龙新平</w:t>
            </w:r>
          </w:p>
        </w:tc>
        <w:tc>
          <w:tcPr>
            <w:tcW w:w="1154" w:type="dxa"/>
            <w:tcBorders>
              <w:left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杨雪龙</w:t>
            </w:r>
          </w:p>
        </w:tc>
        <w:tc>
          <w:tcPr>
            <w:tcW w:w="1241" w:type="dxa"/>
            <w:tcBorders>
              <w:left w:val="single" w:color="auto" w:sz="4" w:space="0"/>
              <w:right w:val="single" w:color="auto" w:sz="4" w:space="0"/>
            </w:tcBorders>
            <w:vAlign w:val="center"/>
          </w:tcPr>
          <w:p>
            <w:pPr>
              <w:jc w:val="center"/>
              <w:rPr>
                <w:rFonts w:asciiTheme="majorHAnsi" w:hAnsiTheme="majorHAnsi"/>
                <w:sz w:val="18"/>
                <w:szCs w:val="18"/>
              </w:rPr>
            </w:pPr>
            <w:r>
              <w:rPr>
                <w:rFonts w:hint="eastAsia" w:asciiTheme="majorHAnsi" w:hAnsiTheme="majorHAnsi"/>
                <w:sz w:val="18"/>
                <w:szCs w:val="18"/>
              </w:rPr>
              <w:t>杨雪龙 龙新平 姚鑫</w:t>
            </w:r>
          </w:p>
        </w:tc>
        <w:tc>
          <w:tcPr>
            <w:tcW w:w="1211"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9</w:t>
            </w:r>
          </w:p>
        </w:tc>
        <w:tc>
          <w:tcPr>
            <w:tcW w:w="1209"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ascii="宋体" w:hAnsi="宋体" w:eastAsia="宋体" w:cs="宋体"/>
                <w:color w:val="000000"/>
                <w:sz w:val="18"/>
                <w:szCs w:val="18"/>
              </w:rPr>
              <w:t>Web of science</w:t>
            </w:r>
          </w:p>
        </w:tc>
        <w:tc>
          <w:tcPr>
            <w:tcW w:w="1425" w:type="dxa"/>
            <w:vAlign w:val="center"/>
          </w:tcPr>
          <w:p>
            <w:pPr>
              <w:pStyle w:val="7"/>
              <w:widowControl w:val="0"/>
              <w:adjustRightInd w:val="0"/>
              <w:spacing w:line="240" w:lineRule="exact"/>
              <w:jc w:val="center"/>
              <w:outlineLvl w:val="1"/>
              <w:rPr>
                <w:rFonts w:ascii="宋体" w:hAnsi="宋体" w:eastAsia="宋体" w:cs="宋体"/>
                <w:color w:val="000000"/>
                <w:sz w:val="18"/>
                <w:szCs w:val="18"/>
              </w:rPr>
            </w:pPr>
            <w:r>
              <w:rPr>
                <w:rFonts w:hint="eastAsia" w:ascii="宋体" w:hAnsi="宋体" w:eastAsia="宋体" w:cs="宋体"/>
                <w:color w:val="000000"/>
                <w:sz w:val="18"/>
                <w:szCs w:val="18"/>
              </w:rPr>
              <w:t>否</w:t>
            </w:r>
          </w:p>
        </w:tc>
      </w:tr>
    </w:tbl>
    <w:p>
      <w:pPr>
        <w:spacing w:line="20" w:lineRule="atLeast"/>
        <w:rPr>
          <w:b/>
          <w:sz w:val="21"/>
          <w:szCs w:val="21"/>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57" w:footer="5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1"/>
    <w:rsid w:val="00055BF0"/>
    <w:rsid w:val="00065AB8"/>
    <w:rsid w:val="000A3E3A"/>
    <w:rsid w:val="000C7F6B"/>
    <w:rsid w:val="001140EF"/>
    <w:rsid w:val="00124973"/>
    <w:rsid w:val="0017059E"/>
    <w:rsid w:val="001B472D"/>
    <w:rsid w:val="001C156A"/>
    <w:rsid w:val="001D7405"/>
    <w:rsid w:val="002151DE"/>
    <w:rsid w:val="002279E9"/>
    <w:rsid w:val="00287332"/>
    <w:rsid w:val="002D2BEA"/>
    <w:rsid w:val="003B6016"/>
    <w:rsid w:val="003C5280"/>
    <w:rsid w:val="003D2ED6"/>
    <w:rsid w:val="003F2FAD"/>
    <w:rsid w:val="003F5FEF"/>
    <w:rsid w:val="00421DF8"/>
    <w:rsid w:val="00474F52"/>
    <w:rsid w:val="004D1208"/>
    <w:rsid w:val="005337E8"/>
    <w:rsid w:val="005412E8"/>
    <w:rsid w:val="00587D24"/>
    <w:rsid w:val="005B2937"/>
    <w:rsid w:val="006006D5"/>
    <w:rsid w:val="00646ECD"/>
    <w:rsid w:val="006A49D9"/>
    <w:rsid w:val="007169A4"/>
    <w:rsid w:val="00730421"/>
    <w:rsid w:val="007321E7"/>
    <w:rsid w:val="007462CD"/>
    <w:rsid w:val="007D72C4"/>
    <w:rsid w:val="007F6440"/>
    <w:rsid w:val="00861452"/>
    <w:rsid w:val="00953187"/>
    <w:rsid w:val="009D3FAC"/>
    <w:rsid w:val="009F08CF"/>
    <w:rsid w:val="00A24A78"/>
    <w:rsid w:val="00A64BC1"/>
    <w:rsid w:val="00A704AD"/>
    <w:rsid w:val="00A721D4"/>
    <w:rsid w:val="00AB0DA4"/>
    <w:rsid w:val="00B310AB"/>
    <w:rsid w:val="00B84FA2"/>
    <w:rsid w:val="00BB776E"/>
    <w:rsid w:val="00BC226E"/>
    <w:rsid w:val="00BD1ABD"/>
    <w:rsid w:val="00BE7DD0"/>
    <w:rsid w:val="00BF39D0"/>
    <w:rsid w:val="00C70BCD"/>
    <w:rsid w:val="00C73532"/>
    <w:rsid w:val="00CA661D"/>
    <w:rsid w:val="00CC1191"/>
    <w:rsid w:val="00D1337D"/>
    <w:rsid w:val="00DF5BCF"/>
    <w:rsid w:val="00E02738"/>
    <w:rsid w:val="00E66954"/>
    <w:rsid w:val="00E939F0"/>
    <w:rsid w:val="00EF1D25"/>
    <w:rsid w:val="00F35B7A"/>
    <w:rsid w:val="00F709BA"/>
    <w:rsid w:val="00FA1A1A"/>
    <w:rsid w:val="16C9354B"/>
    <w:rsid w:val="19114F77"/>
    <w:rsid w:val="1D536E88"/>
    <w:rsid w:val="322C5A25"/>
    <w:rsid w:val="3E8A26DF"/>
    <w:rsid w:val="42582E81"/>
    <w:rsid w:val="4946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3"/>
    <w:qFormat/>
    <w:uiPriority w:val="9"/>
    <w:pPr>
      <w:keepNext/>
      <w:keepLines/>
      <w:jc w:val="center"/>
      <w:outlineLvl w:val="0"/>
    </w:pPr>
    <w:rPr>
      <w:rFonts w:eastAsia="方正小标宋简体"/>
      <w:bCs/>
      <w:kern w:val="44"/>
      <w:sz w:val="44"/>
      <w:szCs w:val="44"/>
    </w:rPr>
  </w:style>
  <w:style w:type="paragraph" w:styleId="3">
    <w:name w:val="heading 2"/>
    <w:basedOn w:val="1"/>
    <w:next w:val="1"/>
    <w:link w:val="14"/>
    <w:unhideWhenUsed/>
    <w:qFormat/>
    <w:uiPriority w:val="9"/>
    <w:pPr>
      <w:keepNext/>
      <w:keepLines/>
      <w:ind w:firstLine="641"/>
      <w:outlineLvl w:val="1"/>
    </w:pPr>
    <w:rPr>
      <w:rFonts w:eastAsia="黑体" w:asciiTheme="majorHAnsi" w:hAnsiTheme="majorHAnsi" w:cstheme="majorBidi"/>
      <w:bCs/>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link w:val="15"/>
    <w:semiHidden/>
    <w:unhideWhenUsed/>
    <w:uiPriority w:val="99"/>
    <w:pPr>
      <w:widowControl w:val="0"/>
      <w:spacing w:line="360" w:lineRule="auto"/>
      <w:ind w:firstLine="480" w:firstLineChars="200"/>
      <w:jc w:val="both"/>
    </w:pPr>
    <w:rPr>
      <w:rFonts w:hint="eastAsia" w:ascii="仿宋_GB2312" w:eastAsia="宋体" w:cs="Times New Roman"/>
      <w:sz w:val="24"/>
      <w:szCs w:val="20"/>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pPr>
    <w:rPr>
      <w:sz w:val="18"/>
      <w:szCs w:val="18"/>
    </w:rPr>
  </w:style>
  <w:style w:type="paragraph" w:styleId="7">
    <w:name w:val="Normal (Web)"/>
    <w:basedOn w:val="1"/>
    <w:semiHidden/>
    <w:unhideWhenUsed/>
    <w:qFormat/>
    <w:uiPriority w:val="99"/>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1 Char"/>
    <w:basedOn w:val="10"/>
    <w:link w:val="2"/>
    <w:qFormat/>
    <w:uiPriority w:val="9"/>
    <w:rPr>
      <w:rFonts w:eastAsia="方正小标宋简体"/>
      <w:bCs/>
      <w:kern w:val="44"/>
      <w:sz w:val="44"/>
      <w:szCs w:val="44"/>
    </w:rPr>
  </w:style>
  <w:style w:type="character" w:customStyle="1" w:styleId="14">
    <w:name w:val="标题 2 Char"/>
    <w:basedOn w:val="10"/>
    <w:link w:val="3"/>
    <w:qFormat/>
    <w:uiPriority w:val="9"/>
    <w:rPr>
      <w:rFonts w:eastAsia="黑体" w:asciiTheme="majorHAnsi" w:hAnsiTheme="majorHAnsi" w:cstheme="majorBidi"/>
      <w:bCs/>
      <w:szCs w:val="32"/>
    </w:rPr>
  </w:style>
  <w:style w:type="character" w:customStyle="1" w:styleId="15">
    <w:name w:val="纯文本 Char"/>
    <w:basedOn w:val="10"/>
    <w:link w:val="4"/>
    <w:uiPriority w:val="0"/>
    <w:rPr>
      <w:rFonts w:hint="eastAsia" w:ascii="仿宋_GB2312" w:eastAsia="仿宋_GB2312" w:cs="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2CF-C56E-4F29-A2FF-42E6843924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568</Words>
  <Characters>3241</Characters>
  <Lines>27</Lines>
  <Paragraphs>7</Paragraphs>
  <TotalTime>143</TotalTime>
  <ScaleCrop>false</ScaleCrop>
  <LinksUpToDate>false</LinksUpToDate>
  <CharactersWithSpaces>3802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2019-12-02T11:23:00Z</dcterms:created>
  <dc:creator>李昕然</dc:creator>
  <cp:lastModifiedBy>DJL</cp:lastModifiedBy>
  <cp:lastPrinted>2019-12-03T02:10:00Z</cp:lastPrinted>
  <dcterms:modified xsi:type="dcterms:W3CDTF">2020-05-13T08:28:31Z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